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2BA9" w14:textId="77777777" w:rsidR="00D210D0" w:rsidRPr="00EE25C8" w:rsidRDefault="00D210D0" w:rsidP="003C162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b/>
          <w:bCs/>
          <w:sz w:val="24"/>
          <w:szCs w:val="24"/>
        </w:rPr>
      </w:pPr>
      <w:r w:rsidRPr="00EE25C8">
        <w:rPr>
          <w:rFonts w:eastAsia="Times New Roman" w:cs="Times New Roman"/>
          <w:b/>
          <w:bCs/>
          <w:sz w:val="24"/>
          <w:szCs w:val="24"/>
        </w:rPr>
        <w:t xml:space="preserve">2.2 </w:t>
      </w:r>
      <w:r w:rsidR="003C1626" w:rsidRPr="00EE25C8">
        <w:rPr>
          <w:rFonts w:eastAsia="Times New Roman" w:cs="Times New Roman"/>
          <w:b/>
          <w:bCs/>
          <w:sz w:val="24"/>
          <w:szCs w:val="24"/>
        </w:rPr>
        <w:t>MASTER IN AGRICULTURAL ECONOMICS BY COURSEWORK</w:t>
      </w:r>
    </w:p>
    <w:p w14:paraId="08B5A726" w14:textId="77777777" w:rsidR="00D210D0" w:rsidRPr="00EE25C8" w:rsidRDefault="00D210D0" w:rsidP="00D210D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  <w:r w:rsidRPr="00EE25C8">
        <w:rPr>
          <w:rFonts w:eastAsia="Times New Roman" w:cs="Times New Roman"/>
          <w:b/>
          <w:bCs/>
          <w:sz w:val="24"/>
          <w:szCs w:val="24"/>
        </w:rPr>
        <w:t>TRAINING OBJECTIVES</w:t>
      </w:r>
    </w:p>
    <w:p w14:paraId="3BDA0B7C" w14:textId="77777777" w:rsidR="00C33465" w:rsidRPr="00EE25C8" w:rsidRDefault="00D210D0" w:rsidP="00DE593E">
      <w:pPr>
        <w:shd w:val="clear" w:color="auto" w:fill="FFFFFF"/>
        <w:spacing w:after="0" w:line="240" w:lineRule="auto"/>
        <w:jc w:val="both"/>
        <w:textAlignment w:val="top"/>
      </w:pPr>
      <w:r w:rsidRPr="00EE25C8">
        <w:t xml:space="preserve">The master's program in Agricultural Economics </w:t>
      </w:r>
      <w:r w:rsidR="003C1626" w:rsidRPr="00EE25C8">
        <w:t>by coursework is aimed at</w:t>
      </w:r>
      <w:r w:rsidRPr="00EE25C8">
        <w:t xml:space="preserve"> equip</w:t>
      </w:r>
      <w:r w:rsidR="003C1626" w:rsidRPr="00EE25C8">
        <w:t>ping</w:t>
      </w:r>
      <w:r w:rsidRPr="00EE25C8">
        <w:t xml:space="preserve"> learners with knowledge and skills in economic theory and qualitative and quantitative analytical tools to solve problems</w:t>
      </w:r>
      <w:r w:rsidR="003C1626" w:rsidRPr="00EE25C8">
        <w:t xml:space="preserve"> </w:t>
      </w:r>
      <w:r w:rsidRPr="00EE25C8">
        <w:t>in agricultural economy and rural development; and decision making in agribusiness.</w:t>
      </w:r>
    </w:p>
    <w:p w14:paraId="36F7741B" w14:textId="77777777" w:rsidR="00D210D0" w:rsidRPr="00EE25C8" w:rsidRDefault="00D210D0" w:rsidP="00DE593E">
      <w:pPr>
        <w:shd w:val="clear" w:color="auto" w:fill="FFFFFF"/>
        <w:spacing w:after="0" w:line="240" w:lineRule="auto"/>
        <w:jc w:val="both"/>
        <w:textAlignment w:val="top"/>
      </w:pPr>
    </w:p>
    <w:p w14:paraId="4E2E0467" w14:textId="77777777" w:rsidR="00D210D0" w:rsidRPr="00EE25C8" w:rsidRDefault="00EB2B2D" w:rsidP="00D210D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b/>
          <w:bCs/>
          <w:sz w:val="24"/>
          <w:szCs w:val="24"/>
        </w:rPr>
      </w:pPr>
      <w:r w:rsidRPr="00EE25C8">
        <w:rPr>
          <w:rFonts w:eastAsia="Times New Roman" w:cs="Times New Roman"/>
          <w:b/>
          <w:bCs/>
          <w:sz w:val="24"/>
          <w:szCs w:val="24"/>
        </w:rPr>
        <w:t xml:space="preserve">FRAMEWORK </w:t>
      </w:r>
      <w:r w:rsidR="00D210D0" w:rsidRPr="00EE25C8">
        <w:rPr>
          <w:rFonts w:eastAsia="Times New Roman" w:cs="Times New Roman"/>
          <w:b/>
          <w:bCs/>
          <w:sz w:val="24"/>
          <w:szCs w:val="24"/>
        </w:rPr>
        <w:t>OF TRAINING PROGRAM</w:t>
      </w:r>
    </w:p>
    <w:tbl>
      <w:tblPr>
        <w:tblW w:w="100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993"/>
        <w:gridCol w:w="3402"/>
        <w:gridCol w:w="965"/>
        <w:gridCol w:w="567"/>
        <w:gridCol w:w="709"/>
        <w:gridCol w:w="709"/>
        <w:gridCol w:w="567"/>
        <w:gridCol w:w="709"/>
        <w:gridCol w:w="850"/>
        <w:gridCol w:w="42"/>
      </w:tblGrid>
      <w:tr w:rsidR="00EE25C8" w:rsidRPr="00EE25C8" w14:paraId="67D59F7F" w14:textId="77777777" w:rsidTr="000B3E1C">
        <w:trPr>
          <w:gridAfter w:val="1"/>
          <w:wAfter w:w="42" w:type="dxa"/>
          <w:cantSplit/>
          <w:trHeight w:val="1134"/>
          <w:tblHeader/>
        </w:trPr>
        <w:tc>
          <w:tcPr>
            <w:tcW w:w="582" w:type="dxa"/>
            <w:shd w:val="clear" w:color="auto" w:fill="FFFFFF"/>
            <w:noWrap/>
            <w:vAlign w:val="center"/>
          </w:tcPr>
          <w:p w14:paraId="566BC007" w14:textId="77777777" w:rsidR="003C1626" w:rsidRPr="00EE25C8" w:rsidRDefault="003C1626" w:rsidP="003C16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EB2B9DC" w14:textId="77777777" w:rsidR="003C1626" w:rsidRPr="00EE25C8" w:rsidRDefault="003C1626" w:rsidP="003C1626">
            <w:pPr>
              <w:spacing w:after="0" w:line="240" w:lineRule="auto"/>
              <w:ind w:left="-18" w:right="-51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14:paraId="29912DA6" w14:textId="77777777" w:rsidR="003C1626" w:rsidRPr="00EE25C8" w:rsidRDefault="003C1626" w:rsidP="003C1626">
            <w:pPr>
              <w:spacing w:after="0" w:line="240" w:lineRule="auto"/>
              <w:ind w:left="-18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65" w:type="dxa"/>
            <w:shd w:val="clear" w:color="auto" w:fill="FFFFFF"/>
            <w:noWrap/>
            <w:textDirection w:val="tbRl"/>
            <w:vAlign w:val="center"/>
          </w:tcPr>
          <w:p w14:paraId="4191158B" w14:textId="77777777" w:rsidR="003C1626" w:rsidRPr="00EE25C8" w:rsidRDefault="003C1626" w:rsidP="003C162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No. of credits</w:t>
            </w:r>
          </w:p>
        </w:tc>
        <w:tc>
          <w:tcPr>
            <w:tcW w:w="567" w:type="dxa"/>
            <w:shd w:val="clear" w:color="auto" w:fill="FFFFFF"/>
            <w:noWrap/>
            <w:textDirection w:val="tbRl"/>
            <w:vAlign w:val="center"/>
          </w:tcPr>
          <w:p w14:paraId="75F43FF9" w14:textId="77777777" w:rsidR="003C1626" w:rsidRPr="00EE25C8" w:rsidRDefault="003C1626" w:rsidP="003C1626">
            <w:pPr>
              <w:spacing w:after="0" w:line="240" w:lineRule="auto"/>
              <w:ind w:left="-128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Compulsory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14:paraId="3647226D" w14:textId="77777777" w:rsidR="003C1626" w:rsidRPr="00EE25C8" w:rsidRDefault="003C1626" w:rsidP="003C162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Elective</w:t>
            </w:r>
          </w:p>
        </w:tc>
        <w:tc>
          <w:tcPr>
            <w:tcW w:w="709" w:type="dxa"/>
            <w:shd w:val="clear" w:color="auto" w:fill="FFFFFF"/>
            <w:textDirection w:val="tbRl"/>
            <w:vAlign w:val="center"/>
          </w:tcPr>
          <w:p w14:paraId="620089E2" w14:textId="77777777" w:rsidR="003C1626" w:rsidRPr="00EE25C8" w:rsidRDefault="003C1626" w:rsidP="003C162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Hours of lectures</w:t>
            </w:r>
          </w:p>
        </w:tc>
        <w:tc>
          <w:tcPr>
            <w:tcW w:w="567" w:type="dxa"/>
            <w:shd w:val="clear" w:color="auto" w:fill="FFFFFF"/>
            <w:noWrap/>
            <w:textDirection w:val="tbRl"/>
            <w:vAlign w:val="center"/>
          </w:tcPr>
          <w:p w14:paraId="49B69E95" w14:textId="77777777" w:rsidR="003C1626" w:rsidRPr="00EE25C8" w:rsidRDefault="003C1626" w:rsidP="003C162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Hours of Practice</w:t>
            </w:r>
          </w:p>
        </w:tc>
        <w:tc>
          <w:tcPr>
            <w:tcW w:w="709" w:type="dxa"/>
            <w:shd w:val="clear" w:color="auto" w:fill="FFFFFF"/>
            <w:noWrap/>
            <w:textDirection w:val="tbRl"/>
            <w:vAlign w:val="center"/>
          </w:tcPr>
          <w:p w14:paraId="7DEEA127" w14:textId="77777777" w:rsidR="003C1626" w:rsidRPr="00EE25C8" w:rsidRDefault="003C1626" w:rsidP="003C162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Prerequisite course</w:t>
            </w:r>
            <w:r w:rsidRPr="00EE25C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850" w:type="dxa"/>
            <w:shd w:val="clear" w:color="auto" w:fill="FFFFFF"/>
            <w:noWrap/>
            <w:textDirection w:val="tbRl"/>
            <w:vAlign w:val="center"/>
          </w:tcPr>
          <w:p w14:paraId="46A94C01" w14:textId="77777777" w:rsidR="003C1626" w:rsidRPr="00EE25C8" w:rsidRDefault="003C1626" w:rsidP="003C1626">
            <w:pPr>
              <w:spacing w:after="0" w:line="240" w:lineRule="auto"/>
              <w:ind w:left="-25" w:right="-7"/>
              <w:jc w:val="center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bCs/>
                <w:sz w:val="20"/>
                <w:szCs w:val="20"/>
              </w:rPr>
              <w:t>Semester</w:t>
            </w:r>
          </w:p>
        </w:tc>
      </w:tr>
      <w:tr w:rsidR="00EE25C8" w:rsidRPr="00EE25C8" w14:paraId="7F5BB189" w14:textId="77777777" w:rsidTr="000B3E1C">
        <w:trPr>
          <w:trHeight w:val="263"/>
        </w:trPr>
        <w:tc>
          <w:tcPr>
            <w:tcW w:w="582" w:type="dxa"/>
            <w:shd w:val="clear" w:color="auto" w:fill="F2F2F2"/>
          </w:tcPr>
          <w:p w14:paraId="0954C2E0" w14:textId="77777777" w:rsidR="003C1626" w:rsidRPr="00EE25C8" w:rsidRDefault="003C1626" w:rsidP="003C16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13" w:type="dxa"/>
            <w:gridSpan w:val="10"/>
            <w:vAlign w:val="bottom"/>
          </w:tcPr>
          <w:p w14:paraId="13C4C8E5" w14:textId="77777777" w:rsidR="003C1626" w:rsidRPr="00EE25C8" w:rsidRDefault="003C1626" w:rsidP="003C1626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E25C8">
              <w:rPr>
                <w:b/>
                <w:sz w:val="20"/>
                <w:szCs w:val="20"/>
              </w:rPr>
              <w:t xml:space="preserve">I. </w:t>
            </w:r>
            <w:r w:rsidRPr="00EE25C8">
              <w:rPr>
                <w:b/>
                <w:sz w:val="20"/>
                <w:szCs w:val="20"/>
                <w:lang w:val="vi-VN"/>
              </w:rPr>
              <w:t xml:space="preserve">General knowledge </w:t>
            </w:r>
            <w:r w:rsidRPr="00EE25C8">
              <w:rPr>
                <w:b/>
                <w:sz w:val="20"/>
                <w:szCs w:val="20"/>
                <w:lang w:val="en-US"/>
              </w:rPr>
              <w:t>block</w:t>
            </w:r>
          </w:p>
        </w:tc>
      </w:tr>
      <w:tr w:rsidR="00EE25C8" w:rsidRPr="00EE25C8" w14:paraId="7C2160F5" w14:textId="77777777" w:rsidTr="000B3E1C">
        <w:trPr>
          <w:gridAfter w:val="1"/>
          <w:wAfter w:w="42" w:type="dxa"/>
          <w:trHeight w:val="229"/>
        </w:trPr>
        <w:tc>
          <w:tcPr>
            <w:tcW w:w="582" w:type="dxa"/>
            <w:noWrap/>
          </w:tcPr>
          <w:p w14:paraId="7BB6C562" w14:textId="77777777" w:rsidR="003C1626" w:rsidRPr="00EE25C8" w:rsidRDefault="003C1626" w:rsidP="003C16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DBF411B" w14:textId="77777777" w:rsidR="003C1626" w:rsidRPr="00EE25C8" w:rsidRDefault="003C1626" w:rsidP="003C1626">
            <w:pPr>
              <w:spacing w:after="0" w:line="240" w:lineRule="auto"/>
              <w:ind w:left="-14" w:firstLine="10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ML606</w:t>
            </w:r>
          </w:p>
        </w:tc>
        <w:tc>
          <w:tcPr>
            <w:tcW w:w="3402" w:type="dxa"/>
            <w:noWrap/>
          </w:tcPr>
          <w:p w14:paraId="1D317011" w14:textId="77777777" w:rsidR="003C1626" w:rsidRPr="00EE25C8" w:rsidRDefault="003C1626" w:rsidP="003C1626">
            <w:pPr>
              <w:spacing w:after="0" w:line="240" w:lineRule="auto"/>
              <w:ind w:left="-14" w:firstLine="10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Philosophy</w:t>
            </w:r>
          </w:p>
        </w:tc>
        <w:tc>
          <w:tcPr>
            <w:tcW w:w="965" w:type="dxa"/>
            <w:noWrap/>
          </w:tcPr>
          <w:p w14:paraId="0CA50C0E" w14:textId="77777777" w:rsidR="003C1626" w:rsidRPr="00EE25C8" w:rsidRDefault="003C1626" w:rsidP="003C1626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</w:tcPr>
          <w:p w14:paraId="32CC1A54" w14:textId="77777777" w:rsidR="003C1626" w:rsidRPr="00EE25C8" w:rsidRDefault="003C1626" w:rsidP="003C1626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B1AC68E" w14:textId="77777777" w:rsidR="003C1626" w:rsidRPr="00EE25C8" w:rsidRDefault="003C1626" w:rsidP="003C1626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D401EB6" w14:textId="77777777" w:rsidR="003C1626" w:rsidRPr="00EE25C8" w:rsidRDefault="003C1626" w:rsidP="003C1626">
            <w:pPr>
              <w:spacing w:after="0" w:line="240" w:lineRule="auto"/>
              <w:ind w:left="-14" w:firstLine="10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noWrap/>
          </w:tcPr>
          <w:p w14:paraId="0FE6FFE4" w14:textId="77777777" w:rsidR="003C1626" w:rsidRPr="00EE25C8" w:rsidRDefault="003C1626" w:rsidP="003C1626">
            <w:pPr>
              <w:spacing w:after="0" w:line="240" w:lineRule="auto"/>
              <w:ind w:left="-14" w:firstLine="1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14:paraId="2BF38427" w14:textId="77777777" w:rsidR="003C1626" w:rsidRPr="00EE25C8" w:rsidRDefault="003C1626" w:rsidP="003C1626">
            <w:pPr>
              <w:spacing w:after="0" w:line="240" w:lineRule="auto"/>
              <w:ind w:left="-14" w:firstLine="1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14:paraId="38219A18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0F7A067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9199D5" w14:textId="77777777" w:rsidR="003C1626" w:rsidRPr="00EE25C8" w:rsidRDefault="003C1626" w:rsidP="003C162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13" w:type="dxa"/>
            <w:gridSpan w:val="10"/>
          </w:tcPr>
          <w:p w14:paraId="17C7398D" w14:textId="77777777" w:rsidR="003C1626" w:rsidRPr="00EE25C8" w:rsidRDefault="003C1626" w:rsidP="003C162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 xml:space="preserve">II. </w:t>
            </w:r>
            <w:r w:rsidRPr="00EE25C8">
              <w:rPr>
                <w:b/>
                <w:sz w:val="20"/>
                <w:szCs w:val="20"/>
                <w:lang w:val="en-US"/>
              </w:rPr>
              <w:t>Economic</w:t>
            </w:r>
            <w:r w:rsidRPr="00EE25C8">
              <w:rPr>
                <w:b/>
                <w:sz w:val="20"/>
                <w:szCs w:val="20"/>
                <w:lang w:val="vi-VN"/>
              </w:rPr>
              <w:t xml:space="preserve"> knowledge </w:t>
            </w:r>
            <w:r w:rsidRPr="00EE25C8">
              <w:rPr>
                <w:b/>
                <w:sz w:val="20"/>
                <w:szCs w:val="20"/>
                <w:lang w:val="en-US"/>
              </w:rPr>
              <w:t>block</w:t>
            </w:r>
          </w:p>
        </w:tc>
      </w:tr>
      <w:tr w:rsidR="00EE25C8" w:rsidRPr="00EE25C8" w14:paraId="077618B7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6283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D2649" w14:textId="77777777" w:rsidR="003C1626" w:rsidRPr="00EE25C8" w:rsidRDefault="003C1626" w:rsidP="003C1626">
            <w:pPr>
              <w:snapToGrid w:val="0"/>
              <w:spacing w:after="0" w:line="240" w:lineRule="auto"/>
              <w:ind w:left="-44"/>
              <w:rPr>
                <w:sz w:val="20"/>
                <w:szCs w:val="20"/>
                <w:lang w:val="en-GB"/>
              </w:rPr>
            </w:pPr>
            <w:r w:rsidRPr="00EE25C8">
              <w:rPr>
                <w:sz w:val="20"/>
                <w:szCs w:val="20"/>
              </w:rPr>
              <w:t>KT760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B18A" w14:textId="77777777" w:rsidR="003C1626" w:rsidRPr="00EE25C8" w:rsidRDefault="003C1626" w:rsidP="00EE25C8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 xml:space="preserve">Research </w:t>
            </w:r>
            <w:r w:rsidR="00EE25C8">
              <w:rPr>
                <w:sz w:val="20"/>
                <w:szCs w:val="20"/>
              </w:rPr>
              <w:t>m</w:t>
            </w:r>
            <w:r w:rsidRPr="00EE25C8">
              <w:rPr>
                <w:sz w:val="20"/>
                <w:szCs w:val="20"/>
              </w:rPr>
              <w:t>ethods in economics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1A7A5" w14:textId="77777777" w:rsidR="003C1626" w:rsidRPr="00EE25C8" w:rsidRDefault="003C1626" w:rsidP="003C16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9145F" w14:textId="77777777" w:rsidR="003C1626" w:rsidRPr="00EE25C8" w:rsidRDefault="003C1626" w:rsidP="003C16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F5988" w14:textId="77777777" w:rsidR="003C1626" w:rsidRPr="00EE25C8" w:rsidRDefault="003C1626" w:rsidP="003C162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CA78CB" w14:textId="77777777" w:rsidR="003C1626" w:rsidRPr="00EE25C8" w:rsidRDefault="003C1626" w:rsidP="003C16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DB0A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7D98F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2355E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241CB7E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D57B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0C7F1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6D8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Microeconomics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784B2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A6D8A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92EE9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96A2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A14EA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1812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533D1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F5421B1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046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7FC8E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63B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Macroeconomics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0CAF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17B1A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C7302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D00B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E184E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27CD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B78A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BD8416C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72E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C2E6B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F7D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Econometrics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2287A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7908A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0A4CC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F576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B710E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D00F9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B36F5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E25C8" w:rsidRPr="00EE25C8" w14:paraId="7ED28033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C611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56181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7D9" w14:textId="77777777" w:rsidR="003C1626" w:rsidRPr="00EE25C8" w:rsidRDefault="003C1626" w:rsidP="003C1626">
            <w:pPr>
              <w:pStyle w:val="Heading2"/>
              <w:spacing w:before="0" w:line="240" w:lineRule="auto"/>
              <w:ind w:left="-74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Economics of natural resources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8EC5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F642D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2F063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CB7DE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69871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2E3E5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8E8D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7148A179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195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E311C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33D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Management of the supply chain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62C93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E25C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CCD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6E18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67280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6168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CA281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312E5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4F6F3FFD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756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A2C4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FB5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Price analysis in agriculture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128CF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78708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4253B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534C8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A928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44ED4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0F90D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2049F160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5B2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FA73C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F27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Statistics in economics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1A83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DEA48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1AC11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2CED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5A63B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71202" w14:textId="77777777" w:rsidR="003C1626" w:rsidRPr="00EE25C8" w:rsidRDefault="003C1626" w:rsidP="003C1626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A91D9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760F796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48D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E834C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EC9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Farm and cooperative management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2BF9B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D5713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7275D4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F1EA8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7E84D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7A093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7EFA3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BD79099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071840" w14:textId="77777777" w:rsidR="003C1626" w:rsidRPr="00EE25C8" w:rsidRDefault="003C1626" w:rsidP="003C162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13" w:type="dxa"/>
            <w:gridSpan w:val="10"/>
            <w:tcBorders>
              <w:bottom w:val="single" w:sz="4" w:space="0" w:color="auto"/>
            </w:tcBorders>
          </w:tcPr>
          <w:p w14:paraId="413A1229" w14:textId="77777777" w:rsidR="003C1626" w:rsidRPr="00EE25C8" w:rsidRDefault="003C1626" w:rsidP="003C162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 xml:space="preserve">III. </w:t>
            </w:r>
            <w:r w:rsidRPr="00EE25C8">
              <w:rPr>
                <w:b/>
                <w:sz w:val="20"/>
                <w:szCs w:val="20"/>
                <w:lang w:val="en-US"/>
              </w:rPr>
              <w:t>Specialized</w:t>
            </w:r>
            <w:r w:rsidRPr="00EE25C8">
              <w:rPr>
                <w:b/>
                <w:sz w:val="20"/>
                <w:szCs w:val="20"/>
                <w:lang w:val="vi-VN"/>
              </w:rPr>
              <w:t xml:space="preserve"> knowledge </w:t>
            </w:r>
            <w:r w:rsidRPr="00EE25C8">
              <w:rPr>
                <w:b/>
                <w:sz w:val="20"/>
                <w:szCs w:val="20"/>
                <w:lang w:val="en-US"/>
              </w:rPr>
              <w:t>block</w:t>
            </w:r>
          </w:p>
        </w:tc>
      </w:tr>
      <w:tr w:rsidR="00EE25C8" w:rsidRPr="00EE25C8" w14:paraId="51B0314F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864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72315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C6F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Agricultural economics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D53D2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55C6E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7CA31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498A9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639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64351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13B63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766F6418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96B6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2BD59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FBA4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Production economics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0832B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D220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7DF6BB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F4D5C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F78BB4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B74498" w14:textId="77777777" w:rsidR="003C1626" w:rsidRPr="00EE25C8" w:rsidRDefault="003C1626" w:rsidP="003C1626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F4AA5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366AFAE8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9DA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B10DC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866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Risk analysis in agriculture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D37AD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DD1A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0930F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6AAD9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51F2D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9BABF" w14:textId="77777777" w:rsidR="003C1626" w:rsidRPr="00EE25C8" w:rsidRDefault="003C1626" w:rsidP="003C1626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DEA1C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0D8302C1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BBD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44A1C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KT642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5F3" w14:textId="77777777" w:rsidR="003C1626" w:rsidRPr="00EE25C8" w:rsidRDefault="003C1626" w:rsidP="003C1626">
            <w:pPr>
              <w:pStyle w:val="Heading2"/>
              <w:spacing w:before="0" w:line="240" w:lineRule="auto"/>
              <w:ind w:left="-74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Agribusiness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76D0E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F7CA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D6F28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E0144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335DD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ten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46E9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B3A94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2EAAA311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86C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BEDEB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5C8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Agricultural marketing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8FBC7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FA6FC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5D309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DD0AC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B0624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75AA3" w14:textId="77777777" w:rsidR="003C1626" w:rsidRPr="00EE25C8" w:rsidRDefault="003C1626" w:rsidP="003C1626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CE499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D74CE2A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82B7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98184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965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International agricultural trade</w:t>
            </w:r>
            <w:r w:rsidRPr="00EE25C8">
              <w:rPr>
                <w:rFonts w:ascii="Times New Roman" w:hAnsi="Times New Roman"/>
                <w: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B75A8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D9030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595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CC7D4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AE177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856B6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38513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25F88007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E2B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01A3C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5A2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Economics of development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5466A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440D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E5DCB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121FD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1E0D2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AA025" w14:textId="77777777" w:rsidR="003C1626" w:rsidRPr="00EE25C8" w:rsidRDefault="003C1626" w:rsidP="003C1626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8CB4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7FDA6F3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D95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11A15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KT652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002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Project analysis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A186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6DBA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13A6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F7E73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C2F5FE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63E09F" w14:textId="77777777" w:rsidR="003C1626" w:rsidRPr="00EE25C8" w:rsidRDefault="003C1626" w:rsidP="003C1626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D1B51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78D1752E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9EC8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A24B8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KT653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3F3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Value chain analysis</w:t>
            </w:r>
            <w:r w:rsidRPr="00EE25C8">
              <w:rPr>
                <w:rFonts w:ascii="Times New Roman" w:hAnsi="Times New Roman"/>
                <w: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47874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DD88D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96DF7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C8748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E93DF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ABAD21" w14:textId="77777777" w:rsidR="003C1626" w:rsidRPr="00EE25C8" w:rsidRDefault="003C1626" w:rsidP="003C1626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79AC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33829920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150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1173F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KTN601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3AC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Advanced economic forecast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EE16A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A4E43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9475F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E25C8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3B19F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1FDBF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07230" w14:textId="77777777" w:rsidR="003C1626" w:rsidRPr="00EE25C8" w:rsidRDefault="003C1626" w:rsidP="003C1626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96133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66DB6888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31EC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D07A6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KT643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27C5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Agricultural policy analysis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1A0CF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302F0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46D94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CB00B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A516A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22AEB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56A4B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2543E5C1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679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  <w:lang w:val="vi-VN"/>
              </w:rPr>
              <w:t xml:space="preserve">2 </w:t>
            </w: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2F400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KTT618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5A3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  <w:lang w:val="vi-VN"/>
              </w:rPr>
            </w:pPr>
            <w:r w:rsidRPr="00EE25C8">
              <w:rPr>
                <w:sz w:val="20"/>
                <w:szCs w:val="20"/>
              </w:rPr>
              <w:t xml:space="preserve">Risk </w:t>
            </w:r>
            <w:r w:rsidRPr="00EE25C8">
              <w:rPr>
                <w:sz w:val="20"/>
                <w:szCs w:val="20"/>
                <w:lang w:val="vi-VN"/>
              </w:rPr>
              <w:t>and insurance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2FC8C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  <w:lang w:val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F7B00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E7775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  <w:lang w:val="vi-V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98FC9" w14:textId="77777777" w:rsidR="003C1626" w:rsidRPr="00EE25C8" w:rsidRDefault="003C1626" w:rsidP="003C162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DC20C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A30C2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D599E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7E9A2878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18F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CC99F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E52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Agriculture and economic development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B1FC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E8555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DF3A2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E85AF3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618F5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8526F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F4797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1E79D058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1C5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25E47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KT731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913" w14:textId="77777777" w:rsidR="003C1626" w:rsidRPr="00EE25C8" w:rsidRDefault="003C1626" w:rsidP="003C16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rFonts w:hint="eastAsia"/>
                <w:sz w:val="20"/>
                <w:szCs w:val="20"/>
              </w:rPr>
              <w:t xml:space="preserve">Foreign </w:t>
            </w:r>
            <w:r w:rsidRPr="00EE25C8">
              <w:rPr>
                <w:sz w:val="20"/>
                <w:szCs w:val="20"/>
              </w:rPr>
              <w:t xml:space="preserve">trade and </w:t>
            </w:r>
            <w:r w:rsidRPr="00EE25C8">
              <w:rPr>
                <w:rFonts w:hint="eastAsia"/>
                <w:sz w:val="20"/>
                <w:szCs w:val="20"/>
              </w:rPr>
              <w:t xml:space="preserve">economic integration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C98FB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5AF2D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E0A97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93A5D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0F733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2B34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E5543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4F557146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41D" w14:textId="77777777" w:rsidR="003C1626" w:rsidRPr="00EE25C8" w:rsidRDefault="003C1626" w:rsidP="003C1626">
            <w:pPr>
              <w:spacing w:after="0" w:line="240" w:lineRule="auto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0F5B3" w14:textId="77777777" w:rsidR="003C1626" w:rsidRPr="00EE25C8" w:rsidRDefault="003C1626" w:rsidP="003C1626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KTN616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3B6" w14:textId="77777777" w:rsidR="003C1626" w:rsidRPr="00EE25C8" w:rsidRDefault="003C1626" w:rsidP="003C1626">
            <w:pPr>
              <w:pStyle w:val="Heading2"/>
              <w:spacing w:before="0" w:line="240" w:lineRule="auto"/>
              <w:ind w:left="-57" w:right="-57"/>
              <w:rPr>
                <w:rFonts w:ascii="Times New Roman" w:hAnsi="Times New Roman"/>
                <w:caps/>
                <w:color w:val="auto"/>
                <w:sz w:val="20"/>
                <w:szCs w:val="20"/>
              </w:rPr>
            </w:pPr>
            <w:r w:rsidRPr="00EE25C8">
              <w:rPr>
                <w:rFonts w:ascii="Times New Roman" w:hAnsi="Times New Roman"/>
                <w:color w:val="auto"/>
                <w:sz w:val="20"/>
                <w:szCs w:val="20"/>
              </w:rPr>
              <w:t>Business development and innovation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1253B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E39A6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680C0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E25C8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E631BA" w14:textId="77777777" w:rsidR="003C1626" w:rsidRPr="00EE25C8" w:rsidRDefault="003C1626" w:rsidP="003C162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E563C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EEEF9" w14:textId="77777777" w:rsidR="003C1626" w:rsidRPr="00EE25C8" w:rsidRDefault="003C1626" w:rsidP="003C1626">
            <w:pPr>
              <w:spacing w:after="0" w:line="240" w:lineRule="auto"/>
              <w:ind w:left="-57" w:right="-57"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A29F" w14:textId="77777777" w:rsidR="003C1626" w:rsidRPr="00EE25C8" w:rsidRDefault="003C1626" w:rsidP="003C16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9E1D52F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E75729" w14:textId="77777777" w:rsidR="003C1626" w:rsidRPr="00EE25C8" w:rsidRDefault="003C1626" w:rsidP="003C162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13" w:type="dxa"/>
            <w:gridSpan w:val="10"/>
          </w:tcPr>
          <w:p w14:paraId="15077360" w14:textId="77777777" w:rsidR="003C1626" w:rsidRPr="00EE25C8" w:rsidRDefault="003C1626" w:rsidP="003C1626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 xml:space="preserve">IV. </w:t>
            </w:r>
            <w:r w:rsidRPr="00EE25C8">
              <w:rPr>
                <w:b/>
                <w:sz w:val="20"/>
                <w:szCs w:val="20"/>
                <w:lang w:val="en-US"/>
              </w:rPr>
              <w:t>Intership and Graduation</w:t>
            </w:r>
            <w:r w:rsidRPr="00EE25C8">
              <w:rPr>
                <w:b/>
                <w:sz w:val="20"/>
                <w:szCs w:val="20"/>
                <w:lang w:val="vi-VN"/>
              </w:rPr>
              <w:t xml:space="preserve"> </w:t>
            </w:r>
            <w:r w:rsidRPr="00EE25C8">
              <w:rPr>
                <w:b/>
                <w:sz w:val="20"/>
                <w:szCs w:val="20"/>
                <w:lang w:val="en-US"/>
              </w:rPr>
              <w:t>block</w:t>
            </w:r>
          </w:p>
        </w:tc>
      </w:tr>
      <w:tr w:rsidR="00EE25C8" w:rsidRPr="00EE25C8" w14:paraId="5CF516DA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4577" w14:textId="77777777" w:rsidR="003C1626" w:rsidRPr="00EE25C8" w:rsidRDefault="003C1626" w:rsidP="003C16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1B475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B842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Graduation thesis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D87F4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57C85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6F533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97B2C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71211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CC9CC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69D16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279B719D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C6F" w14:textId="77777777" w:rsidR="003C1626" w:rsidRPr="00EE25C8" w:rsidRDefault="003C1626" w:rsidP="003C16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361A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4CE0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Graduation internship 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A0784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F1A22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A799F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987C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EB113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C128C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06D3C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0655FA2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4D35" w14:textId="77777777" w:rsidR="003C1626" w:rsidRPr="00EE25C8" w:rsidRDefault="003C1626" w:rsidP="003C16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B470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KTN003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96C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Graduation Internship 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7C893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66CB1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4B279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F7C37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CFC90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1DBB9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145F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  <w:tr w:rsidR="00EE25C8" w:rsidRPr="00EE25C8" w14:paraId="52A5A8E5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9513" w:type="dxa"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736" w14:textId="77777777" w:rsidR="003C1626" w:rsidRPr="00EE25C8" w:rsidRDefault="003C1626" w:rsidP="003C1626">
            <w:pPr>
              <w:spacing w:after="0" w:line="240" w:lineRule="auto"/>
              <w:ind w:right="-57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EE25C8" w:rsidRPr="00EE25C8" w14:paraId="07E6EFB0" w14:textId="77777777" w:rsidTr="000B3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30B5" w14:textId="77777777" w:rsidR="003C1626" w:rsidRPr="00EE25C8" w:rsidRDefault="003C1626" w:rsidP="003C162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26F97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B38B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7C478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91BC9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BF950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b/>
                <w:sz w:val="20"/>
                <w:szCs w:val="20"/>
              </w:rPr>
            </w:pPr>
            <w:r w:rsidRPr="00EE25C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83F50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C452" w14:textId="77777777" w:rsidR="003C1626" w:rsidRPr="00EE25C8" w:rsidRDefault="003C1626" w:rsidP="003C1626">
            <w:pPr>
              <w:spacing w:after="0" w:line="240" w:lineRule="auto"/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5329D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38D0C" w14:textId="77777777" w:rsidR="003C1626" w:rsidRPr="00EE25C8" w:rsidRDefault="003C1626" w:rsidP="003C1626">
            <w:pPr>
              <w:spacing w:after="0" w:line="240" w:lineRule="auto"/>
              <w:ind w:hanging="4"/>
              <w:rPr>
                <w:sz w:val="20"/>
                <w:szCs w:val="20"/>
              </w:rPr>
            </w:pPr>
            <w:r w:rsidRPr="00EE25C8">
              <w:rPr>
                <w:sz w:val="20"/>
                <w:szCs w:val="20"/>
              </w:rPr>
              <w:t>I, II</w:t>
            </w:r>
          </w:p>
        </w:tc>
      </w:tr>
    </w:tbl>
    <w:p w14:paraId="4185DCD3" w14:textId="77777777" w:rsidR="00D210D0" w:rsidRPr="00EE25C8" w:rsidRDefault="00D210D0" w:rsidP="00CC0DC6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="Times New Roman"/>
          <w:sz w:val="24"/>
          <w:szCs w:val="24"/>
        </w:rPr>
      </w:pPr>
    </w:p>
    <w:sectPr w:rsidR="00D210D0" w:rsidRPr="00EE25C8" w:rsidSect="00C3346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E92"/>
    <w:multiLevelType w:val="multilevel"/>
    <w:tmpl w:val="C588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90786"/>
    <w:multiLevelType w:val="multilevel"/>
    <w:tmpl w:val="863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33FC"/>
    <w:multiLevelType w:val="multilevel"/>
    <w:tmpl w:val="0C7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D032A"/>
    <w:multiLevelType w:val="hybridMultilevel"/>
    <w:tmpl w:val="7A0A694E"/>
    <w:lvl w:ilvl="0" w:tplc="7B6C6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F03"/>
    <w:multiLevelType w:val="multilevel"/>
    <w:tmpl w:val="B6E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803C7"/>
    <w:multiLevelType w:val="multilevel"/>
    <w:tmpl w:val="2CBE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06F5E"/>
    <w:multiLevelType w:val="multilevel"/>
    <w:tmpl w:val="72B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529F3"/>
    <w:multiLevelType w:val="multilevel"/>
    <w:tmpl w:val="193C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D6F81"/>
    <w:multiLevelType w:val="multilevel"/>
    <w:tmpl w:val="083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2D11F5"/>
    <w:multiLevelType w:val="hybridMultilevel"/>
    <w:tmpl w:val="2E76E3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21196B"/>
    <w:multiLevelType w:val="multilevel"/>
    <w:tmpl w:val="BAC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702898">
    <w:abstractNumId w:val="4"/>
  </w:num>
  <w:num w:numId="2" w16cid:durableId="1013655409">
    <w:abstractNumId w:val="10"/>
  </w:num>
  <w:num w:numId="3" w16cid:durableId="1441144385">
    <w:abstractNumId w:val="2"/>
  </w:num>
  <w:num w:numId="4" w16cid:durableId="1706521442">
    <w:abstractNumId w:val="5"/>
  </w:num>
  <w:num w:numId="5" w16cid:durableId="22365837">
    <w:abstractNumId w:val="0"/>
  </w:num>
  <w:num w:numId="6" w16cid:durableId="2092387587">
    <w:abstractNumId w:val="6"/>
  </w:num>
  <w:num w:numId="7" w16cid:durableId="1476029484">
    <w:abstractNumId w:val="1"/>
  </w:num>
  <w:num w:numId="8" w16cid:durableId="466047320">
    <w:abstractNumId w:val="8"/>
  </w:num>
  <w:num w:numId="9" w16cid:durableId="2081782441">
    <w:abstractNumId w:val="7"/>
  </w:num>
  <w:num w:numId="10" w16cid:durableId="802427891">
    <w:abstractNumId w:val="9"/>
  </w:num>
  <w:num w:numId="11" w16cid:durableId="871768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65"/>
    <w:rsid w:val="000B3E1C"/>
    <w:rsid w:val="001C2B3C"/>
    <w:rsid w:val="001C412C"/>
    <w:rsid w:val="00212AD6"/>
    <w:rsid w:val="00212ED7"/>
    <w:rsid w:val="00261D29"/>
    <w:rsid w:val="002C6FB4"/>
    <w:rsid w:val="003C1626"/>
    <w:rsid w:val="00415810"/>
    <w:rsid w:val="0042477B"/>
    <w:rsid w:val="0046043F"/>
    <w:rsid w:val="00474032"/>
    <w:rsid w:val="004E24F1"/>
    <w:rsid w:val="00524F80"/>
    <w:rsid w:val="00662A89"/>
    <w:rsid w:val="007400BD"/>
    <w:rsid w:val="0077443C"/>
    <w:rsid w:val="007B27FF"/>
    <w:rsid w:val="008C2A21"/>
    <w:rsid w:val="00956E1F"/>
    <w:rsid w:val="009A3C96"/>
    <w:rsid w:val="00A83BD3"/>
    <w:rsid w:val="00BD32A8"/>
    <w:rsid w:val="00C26C45"/>
    <w:rsid w:val="00C33465"/>
    <w:rsid w:val="00CC0DC6"/>
    <w:rsid w:val="00D11047"/>
    <w:rsid w:val="00D210D0"/>
    <w:rsid w:val="00DE593E"/>
    <w:rsid w:val="00E1034A"/>
    <w:rsid w:val="00E538D6"/>
    <w:rsid w:val="00E86B22"/>
    <w:rsid w:val="00E96825"/>
    <w:rsid w:val="00EB2B2D"/>
    <w:rsid w:val="00EE25C8"/>
    <w:rsid w:val="00F92575"/>
    <w:rsid w:val="00F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E060"/>
  <w15:chartTrackingRefBased/>
  <w15:docId w15:val="{AE01575C-B3E7-4019-8FA5-89B11A5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C3346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3465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34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4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3465"/>
    <w:rPr>
      <w:color w:val="0000FF"/>
      <w:u w:val="single"/>
    </w:rPr>
  </w:style>
  <w:style w:type="character" w:customStyle="1" w:styleId="vdigit-6">
    <w:name w:val="vdigit-6"/>
    <w:basedOn w:val="DefaultParagraphFont"/>
    <w:rsid w:val="00C33465"/>
  </w:style>
  <w:style w:type="character" w:customStyle="1" w:styleId="vdigit-7">
    <w:name w:val="vdigit-7"/>
    <w:basedOn w:val="DefaultParagraphFont"/>
    <w:rsid w:val="00C33465"/>
  </w:style>
  <w:style w:type="character" w:customStyle="1" w:styleId="vdigit-2">
    <w:name w:val="vdigit-2"/>
    <w:basedOn w:val="DefaultParagraphFont"/>
    <w:rsid w:val="00C33465"/>
  </w:style>
  <w:style w:type="paragraph" w:styleId="BalloonText">
    <w:name w:val="Balloon Text"/>
    <w:basedOn w:val="Normal"/>
    <w:link w:val="BalloonTextChar"/>
    <w:uiPriority w:val="99"/>
    <w:semiHidden/>
    <w:unhideWhenUsed/>
    <w:rsid w:val="0052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0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4032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customStyle="1" w:styleId="Default">
    <w:name w:val="Default"/>
    <w:rsid w:val="00E538D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96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8EE"/>
            <w:bottom w:val="none" w:sz="0" w:space="0" w:color="auto"/>
            <w:right w:val="none" w:sz="0" w:space="0" w:color="auto"/>
          </w:divBdr>
          <w:divsChild>
            <w:div w:id="16937965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424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  <w:divsChild>
                    <w:div w:id="71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4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4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8711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5582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7255652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587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7317379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4718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19352452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145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9184394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5791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</w:div>
              </w:divsChild>
            </w:div>
            <w:div w:id="1973167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712">
                  <w:marLeft w:val="0"/>
                  <w:marRight w:val="0"/>
                  <w:marTop w:val="0"/>
                  <w:marBottom w:val="0"/>
                  <w:divBdr>
                    <w:top w:val="single" w:sz="6" w:space="4" w:color="CFD8E2"/>
                    <w:left w:val="single" w:sz="6" w:space="4" w:color="CFD8E2"/>
                    <w:bottom w:val="single" w:sz="6" w:space="4" w:color="CFD8E2"/>
                    <w:right w:val="single" w:sz="6" w:space="4" w:color="CFD8E2"/>
                  </w:divBdr>
                  <w:divsChild>
                    <w:div w:id="1084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Van Le</cp:lastModifiedBy>
  <cp:revision>3</cp:revision>
  <dcterms:created xsi:type="dcterms:W3CDTF">2023-06-06T08:13:00Z</dcterms:created>
  <dcterms:modified xsi:type="dcterms:W3CDTF">2023-06-06T08:25:00Z</dcterms:modified>
</cp:coreProperties>
</file>